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header9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Технические требования 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ОКПД 2.33.14.11.000 Выполнение работ по капитальному ремонту электродвигателя Саратовской ГЭС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Лот №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195708411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2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3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4">
            <w:r>
              <w:rPr>
                <w:webHidden/>
                <w:rStyle w:val="Style14"/>
                <w:iCs/>
                <w:vanish w:val="false"/>
              </w:rPr>
              <w:t>1.3.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Цель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5">
            <w:r>
              <w:rPr>
                <w:webHidden/>
                <w:rStyle w:val="Style14"/>
                <w:iCs/>
                <w:vanish w:val="false"/>
              </w:rPr>
              <w:t>1.4.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Существующее положение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1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 Перечень объектов Генерального подрядчика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7">
            <w:r>
              <w:rPr>
                <w:webHidden/>
                <w:rStyle w:val="Style14"/>
                <w:iCs/>
                <w:vanish w:val="false"/>
              </w:rPr>
              <w:t>1.5.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18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продукции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19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_Toc195708419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объемам и срокам выполнения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20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видам и объемам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2. Количество электродвигателей, подлежащих ремонту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3. Перечень и объем выполняемых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23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срокам выполнения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4. Требования по срокам выполнения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95708425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качеству работ</w:t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6. Требования к качеству работ</w:t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7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документации по ценообразованию на этапе заключения (исполнения) договора</w:t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8">
            <w:r>
              <w:rPr>
                <w:webHidden/>
                <w:rStyle w:val="Style14"/>
                <w:rFonts w:eastAsia="Calibri"/>
                <w:vanish w:val="false"/>
                <w:lang w:eastAsia="x-none"/>
              </w:rPr>
              <w:t>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  <w:lang w:eastAsia="x-none"/>
              </w:rPr>
              <w:t>Требования к сметной документации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5708429">
            <w:r>
              <w:rPr>
                <w:webHidden/>
                <w:rStyle w:val="Style14"/>
                <w:rFonts w:eastAsia="Calibri"/>
                <w:vanish w:val="false"/>
                <w:lang w:eastAsia="x-none"/>
              </w:rPr>
              <w:t>5.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  <w:lang w:eastAsia="x-none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_Toc195708429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lang w:val="ru-RU"/>
        </w:rPr>
      </w:pPr>
      <w:r>
        <w:rPr>
          <w:lang w:val="ru-RU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rPr>
          <w:caps/>
          <w:sz w:val="24"/>
          <w:szCs w:val="24"/>
          <w:lang w:val="ru-RU"/>
        </w:rPr>
      </w:pPr>
      <w:bookmarkStart w:id="0" w:name="_Toc195708411"/>
      <w:bookmarkStart w:id="1" w:name="_Toc51339692"/>
      <w:r>
        <w:rPr>
          <w:sz w:val="24"/>
          <w:szCs w:val="24"/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2" w:name="_Toc46743505"/>
      <w:bookmarkStart w:id="3" w:name="_Toc195708412"/>
      <w:r>
        <w:rPr>
          <w:lang w:val="ru-RU"/>
        </w:rPr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rStyle w:val="Style8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Конечный 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Генеральный 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АО «Гидроремонт-ВКК», 603140, г. Нижний Новгород, пер. Мотальный д.8, пом. ВП31, офис С1А,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Субподрядчик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Исполнитель выполнения работ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4" w:name="_Toc195708413"/>
      <w:bookmarkStart w:id="5" w:name="_Toc46743506"/>
      <w:r>
        <w:rPr>
          <w:lang w:val="ru-RU"/>
        </w:rPr>
        <w:t>Наименование закупаем</w:t>
      </w:r>
      <w:bookmarkEnd w:id="5"/>
      <w:r>
        <w:rPr>
          <w:lang w:val="ru-RU"/>
        </w:rPr>
        <w:t>ой продукции</w:t>
      </w:r>
      <w:bookmarkEnd w:id="4"/>
    </w:p>
    <w:p>
      <w:pPr>
        <w:pStyle w:val="Normal"/>
        <w:rPr>
          <w:b/>
          <w:sz w:val="24"/>
          <w:szCs w:val="24"/>
        </w:rPr>
      </w:pPr>
      <w:r>
        <w:rPr>
          <w:sz w:val="24"/>
          <w:szCs w:val="24"/>
        </w:rPr>
        <w:t>ОКПД 2.33.14.11.000 Выполнение работ по капитальному ремонту электродвигателя Саратовской ГЭС.</w:t>
      </w:r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6" w:name="_Toc195708414"/>
      <w:bookmarkStart w:id="7" w:name="_Toc46743507"/>
      <w:r>
        <w:rPr>
          <w:lang w:val="ru-RU"/>
        </w:rPr>
        <w:t xml:space="preserve">Цель </w:t>
      </w:r>
      <w:bookmarkEnd w:id="7"/>
      <w:r>
        <w:rPr>
          <w:lang w:val="ru-RU"/>
        </w:rPr>
        <w:t>выполнения работ</w:t>
      </w:r>
      <w:bookmarkEnd w:id="6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работ по капитальному ремонту электродвигателя Саратовской ГЭС на основании договора №1300-355-2023 от 03.11.2023 г., заключенного между ПАО «РусГидро» и АО «Гидроремонт-ВКК» на выполнение работ по «Капитальному и текущему ремонту оборудования, зданий, сооружений Филиала ПАО РусГидро - Саратовской ГЭС»</w:t>
      </w:r>
      <w:r>
        <w:rPr>
          <w:b/>
          <w:bCs/>
          <w:sz w:val="24"/>
          <w:szCs w:val="24"/>
        </w:rPr>
        <w:t>.</w:t>
      </w:r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8" w:name="_Toc195708415"/>
      <w:bookmarkStart w:id="9" w:name="_Toc46743508"/>
      <w:r>
        <w:rPr>
          <w:lang w:val="ru-RU"/>
        </w:rPr>
        <w:t>Существующее положение</w:t>
      </w:r>
      <w:bookmarkEnd w:id="8"/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1.4.1. Генеральный подрядчик: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АО «Гидроремонт-ВКК», 603140, г. Нижний Новгород, пер. Мотальный д.8, пом. ВП31, офис С1А, Саратовский филиал АО «Гидроремонт-ВКК» в г. Балаково.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Адрес филиала: 413840, Саратовская область, г. Балаково.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lang w:val="ru-RU"/>
        </w:rPr>
      </w:pPr>
      <w:bookmarkStart w:id="10" w:name="_Toc195708416"/>
      <w:r>
        <w:rPr>
          <w:sz w:val="24"/>
          <w:szCs w:val="24"/>
          <w:lang w:val="ru-RU"/>
        </w:rPr>
        <w:t xml:space="preserve">Таблица 1. Перечень объектов </w:t>
      </w:r>
      <w:r>
        <w:rPr>
          <w:sz w:val="24"/>
          <w:szCs w:val="24"/>
        </w:rPr>
        <w:t>Генерального подрядчик</w:t>
      </w:r>
      <w:r>
        <w:rPr>
          <w:sz w:val="24"/>
          <w:szCs w:val="24"/>
          <w:lang w:val="ru-RU"/>
        </w:rPr>
        <w:t>а</w:t>
      </w:r>
      <w:bookmarkEnd w:id="10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17"/>
        <w:gridCol w:w="2297"/>
        <w:gridCol w:w="2691"/>
        <w:gridCol w:w="2412"/>
        <w:gridCol w:w="1701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1432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«РусГидро» - «Саратовская ГЭС»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Филиал ПАО «РусГидро» - «Саратовская ГЭС» РФ, 413840, Саратовская обл., г. Балаково; территория здания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</w:t>
            </w:r>
            <w:r>
              <w:rPr>
                <w:sz w:val="24"/>
                <w:szCs w:val="24"/>
                <w:lang w:val="en-US"/>
              </w:rPr>
              <w:t>ь</w:t>
            </w:r>
            <w:r>
              <w:rPr>
                <w:sz w:val="24"/>
                <w:szCs w:val="24"/>
              </w:rPr>
              <w:t xml:space="preserve"> НОП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Эксплуатирующая организация: Филиал ПАО «РусГидро» - «Саратовская ГЭС»</w:t>
            </w:r>
          </w:p>
        </w:tc>
      </w:tr>
    </w:tbl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11" w:name="_Toc46743509"/>
      <w:bookmarkStart w:id="12" w:name="_Hlk49857604"/>
      <w:bookmarkStart w:id="13" w:name="_Toc195708417"/>
      <w:r>
        <w:rPr>
          <w:lang w:val="ru-RU"/>
        </w:rPr>
        <w:t xml:space="preserve">Информация в отношении исполнения договора, </w:t>
      </w:r>
      <w:bookmarkStart w:id="14" w:name="_Hlk46492347"/>
      <w:r>
        <w:rPr>
          <w:lang w:val="ru-RU"/>
        </w:rPr>
        <w:t xml:space="preserve">которая должна быть учтена при подготовке заявки </w:t>
      </w:r>
      <w:bookmarkEnd w:id="14"/>
      <w:r>
        <w:rPr>
          <w:lang w:val="ru-RU"/>
        </w:rPr>
        <w:t>(в том числе перечень ресурсов, услуг и документов, предоставляемых Заказчиком на этапе исполнения договора)</w:t>
      </w:r>
      <w:bookmarkStart w:id="15" w:name="_Hlk48209761"/>
      <w:bookmarkEnd w:id="11"/>
      <w:bookmarkEnd w:id="12"/>
      <w:bookmarkEnd w:id="13"/>
      <w:bookmarkEnd w:id="15"/>
    </w:p>
    <w:p>
      <w:pPr>
        <w:pStyle w:val="ListParagraph"/>
        <w:numPr>
          <w:ilvl w:val="3"/>
          <w:numId w:val="3"/>
        </w:numPr>
        <w:ind w:left="0" w:hanging="0"/>
        <w:jc w:val="both"/>
        <w:rPr>
          <w:lang w:eastAsia="x-none"/>
        </w:rPr>
      </w:pPr>
      <w:r>
        <w:rPr>
          <w:lang w:eastAsia="x-none"/>
        </w:rPr>
        <w:t>Субподрядчик производит доставку электродвигателя до места выполнения работ, с привлечением транспортной компании или собственными средствами.</w:t>
      </w:r>
    </w:p>
    <w:p>
      <w:pPr>
        <w:pStyle w:val="ListParagraph"/>
        <w:numPr>
          <w:ilvl w:val="3"/>
          <w:numId w:val="3"/>
        </w:numPr>
        <w:ind w:left="0" w:hanging="0"/>
        <w:jc w:val="both"/>
        <w:rPr>
          <w:lang w:eastAsia="x-none"/>
        </w:rPr>
      </w:pPr>
      <w:r>
        <w:rPr>
          <w:lang w:eastAsia="x-none"/>
        </w:rPr>
        <w:t xml:space="preserve">Субподрядчик производит осмотр электродвигателя и составляет акт дефектации, который согласуется с Генеральным подрядчиком. </w:t>
      </w:r>
    </w:p>
    <w:p>
      <w:pPr>
        <w:pStyle w:val="ListParagraph"/>
        <w:numPr>
          <w:ilvl w:val="3"/>
          <w:numId w:val="3"/>
        </w:numPr>
        <w:ind w:left="0" w:hanging="0"/>
        <w:jc w:val="both"/>
        <w:rPr>
          <w:lang w:eastAsia="x-none"/>
        </w:rPr>
      </w:pPr>
      <w:r>
        <w:rPr>
          <w:lang w:eastAsia="x-none"/>
        </w:rPr>
        <w:t xml:space="preserve">Субподрядчик предоставляет на согласование Генеральному подрядчику Ведомость объема работ, на основании которой корректируется сумма оказанных работ. </w:t>
      </w:r>
    </w:p>
    <w:p>
      <w:pPr>
        <w:pStyle w:val="ListParagraph"/>
        <w:numPr>
          <w:ilvl w:val="3"/>
          <w:numId w:val="3"/>
        </w:numPr>
        <w:ind w:left="0" w:hanging="0"/>
        <w:jc w:val="both"/>
        <w:rPr>
          <w:lang w:eastAsia="x-none"/>
        </w:rPr>
      </w:pPr>
      <w:r>
        <w:rPr>
          <w:lang w:eastAsia="x-none"/>
        </w:rPr>
        <w:t>Субподрядчик закупает необходимые для ремонта материалы и комплектующие согласно Приложения №1 к настоящим техническим требованиям за свой счет.</w:t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ListParagraph"/>
        <w:numPr>
          <w:ilvl w:val="3"/>
          <w:numId w:val="3"/>
        </w:numPr>
        <w:ind w:left="0" w:hanging="0"/>
        <w:jc w:val="both"/>
        <w:rPr>
          <w:lang w:eastAsia="x-none"/>
        </w:rPr>
      </w:pPr>
      <w:r>
        <w:rPr>
          <w:lang w:eastAsia="x-none"/>
        </w:rPr>
        <w:t>Субподрядчик осуществляет ремонт двигателя и последующую доставку отремонтированного двигателя до склада Генерального подрядчика, согласно таблицы №2; 5.  Стоимость доставки оплачивается Субподрядч</w:t>
      </w:r>
      <w:bookmarkStart w:id="16" w:name="_Hlk48209761_Копия_1"/>
      <w:bookmarkEnd w:id="16"/>
      <w:r>
        <w:rPr>
          <w:lang w:eastAsia="x-none"/>
        </w:rPr>
        <w:t>иком.</w:t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sz w:val="24"/>
          <w:szCs w:val="24"/>
          <w:lang w:val="ru-RU"/>
        </w:rPr>
      </w:pPr>
      <w:bookmarkStart w:id="17" w:name="_Toc195708418"/>
      <w:bookmarkStart w:id="18" w:name="_Toc51339693"/>
      <w:bookmarkStart w:id="19" w:name="_Toc46743510"/>
      <w:bookmarkStart w:id="20" w:name="_Toc50125126"/>
      <w:bookmarkEnd w:id="19"/>
      <w:bookmarkEnd w:id="20"/>
      <w:r>
        <w:rPr>
          <w:sz w:val="24"/>
          <w:szCs w:val="24"/>
          <w:lang w:val="ru-RU"/>
        </w:rPr>
        <w:t xml:space="preserve">Требования к </w:t>
      </w:r>
      <w:bookmarkEnd w:id="18"/>
      <w:r>
        <w:rPr>
          <w:sz w:val="24"/>
          <w:szCs w:val="24"/>
          <w:lang w:val="ru-RU"/>
        </w:rPr>
        <w:t>продукции</w:t>
      </w:r>
      <w:bookmarkEnd w:id="17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bookmarkStart w:id="21" w:name="_Toc195708419"/>
      <w:r>
        <w:rPr>
          <w:lang w:val="ru-RU"/>
        </w:rPr>
        <w:t>Требования к объемам и срокам выполнения работ</w:t>
      </w:r>
      <w:bookmarkEnd w:id="21"/>
    </w:p>
    <w:p>
      <w:pPr>
        <w:pStyle w:val="Heading3"/>
        <w:numPr>
          <w:ilvl w:val="2"/>
          <w:numId w:val="3"/>
        </w:numPr>
        <w:ind w:left="0" w:hanging="0"/>
        <w:rPr>
          <w:lang w:val="ru-RU"/>
        </w:rPr>
      </w:pPr>
      <w:bookmarkStart w:id="22" w:name="_Toc195708420"/>
      <w:r>
        <w:rPr>
          <w:lang w:val="ru-RU"/>
        </w:rPr>
        <w:t>Требования к видам и объемам работ</w:t>
      </w:r>
      <w:bookmarkEnd w:id="22"/>
    </w:p>
    <w:p>
      <w:pPr>
        <w:pStyle w:val="Style27"/>
        <w:numPr>
          <w:ilvl w:val="0"/>
          <w:numId w:val="0"/>
        </w:numPr>
        <w:jc w:val="left"/>
        <w:outlineLvl w:val="0"/>
        <w:rPr>
          <w:lang w:val="ru-RU"/>
        </w:rPr>
      </w:pPr>
      <w:bookmarkStart w:id="23" w:name="_Toc195708421"/>
      <w:r>
        <w:rPr>
          <w:lang w:val="ru-RU"/>
        </w:rPr>
        <w:t>Таблица 2. Количество электродвигателей, подлежащих ремонту</w:t>
      </w:r>
      <w:bookmarkEnd w:id="23"/>
    </w:p>
    <w:p>
      <w:pPr>
        <w:pStyle w:val="Style27"/>
        <w:numPr>
          <w:ilvl w:val="0"/>
          <w:numId w:val="0"/>
        </w:numPr>
        <w:jc w:val="left"/>
        <w:outlineLvl w:val="0"/>
        <w:rPr>
          <w:lang w:val="ru-RU"/>
        </w:rPr>
      </w:pPr>
      <w:r>
        <w:rPr>
          <w:lang w:val="ru-RU"/>
        </w:rPr>
      </w:r>
    </w:p>
    <w:tbl>
      <w:tblPr>
        <w:tblStyle w:val="1c"/>
        <w:tblW w:w="991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6"/>
        <w:gridCol w:w="7828"/>
        <w:gridCol w:w="1284"/>
      </w:tblGrid>
      <w:tr>
        <w:trPr>
          <w:trHeight w:val="20" w:hRule="atLeast"/>
        </w:trPr>
        <w:tc>
          <w:tcPr>
            <w:tcW w:w="80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782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>Наименование</w:t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</w:tr>
      <w:tr>
        <w:trPr>
          <w:trHeight w:val="20" w:hRule="atLeast"/>
        </w:trPr>
        <w:tc>
          <w:tcPr>
            <w:tcW w:w="80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782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kern w:val="0"/>
                <w:sz w:val="24"/>
                <w:szCs w:val="24"/>
                <w:lang w:val="ru-RU" w:eastAsia="en-US" w:bidi="ar-SA"/>
              </w:rPr>
              <w:t>Двигатель асинхронный трехфазного тока АО3-400S-8У2</w:t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426" w:leader="none"/>
              </w:tabs>
              <w:suppressAutoHyphens w:val="true"/>
              <w:spacing w:lineRule="auto" w:line="259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</w:tr>
    </w:tbl>
    <w:p>
      <w:pPr>
        <w:pStyle w:val="Style27"/>
        <w:numPr>
          <w:ilvl w:val="0"/>
          <w:numId w:val="0"/>
        </w:numPr>
        <w:jc w:val="left"/>
        <w:outlineLvl w:val="0"/>
        <w:rPr>
          <w:lang w:val="ru-RU"/>
        </w:rPr>
      </w:pPr>
      <w:r>
        <w:rPr>
          <w:lang w:val="ru-RU"/>
        </w:rPr>
      </w:r>
    </w:p>
    <w:p>
      <w:pPr>
        <w:pStyle w:val="Style27"/>
        <w:numPr>
          <w:ilvl w:val="0"/>
          <w:numId w:val="0"/>
        </w:numPr>
        <w:jc w:val="left"/>
        <w:outlineLvl w:val="0"/>
        <w:rPr>
          <w:lang w:val="ru-RU"/>
        </w:rPr>
      </w:pPr>
      <w:r>
        <w:rPr>
          <w:lang w:val="ru-RU"/>
        </w:rPr>
      </w:r>
    </w:p>
    <w:p>
      <w:pPr>
        <w:pStyle w:val="Style27"/>
        <w:numPr>
          <w:ilvl w:val="0"/>
          <w:numId w:val="0"/>
        </w:numPr>
        <w:jc w:val="left"/>
        <w:outlineLvl w:val="0"/>
        <w:rPr>
          <w:lang w:val="ru-RU"/>
        </w:rPr>
      </w:pPr>
      <w:bookmarkStart w:id="24" w:name="_Toc195708422"/>
      <w:r>
        <w:rPr>
          <w:lang w:val="ru-RU"/>
        </w:rPr>
        <w:t>Таблица 3. Перечень и объем выполняемых работ</w:t>
      </w:r>
      <w:bookmarkEnd w:id="24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30"/>
        <w:gridCol w:w="5252"/>
        <w:gridCol w:w="2297"/>
        <w:gridCol w:w="1638"/>
      </w:tblGrid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471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ind w:left="175" w:hanging="0"/>
              <w:rPr>
                <w:iCs/>
              </w:rPr>
            </w:pPr>
            <w:r>
              <w:rPr/>
              <w:t>Выполнение работ по капитальному ремонту электродвигателя Саратовской ГЭС</w:t>
            </w:r>
          </w:p>
        </w:tc>
        <w:tc>
          <w:tcPr>
            <w:tcW w:w="3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соответствии с ведомостью объемов работ №1 (Приложение №1 к Техническим требованиям)</w:t>
            </w:r>
          </w:p>
        </w:tc>
      </w:tr>
    </w:tbl>
    <w:p>
      <w:pPr>
        <w:pStyle w:val="Heading3"/>
        <w:numPr>
          <w:ilvl w:val="2"/>
          <w:numId w:val="3"/>
        </w:numPr>
        <w:ind w:left="0" w:hanging="0"/>
        <w:rPr>
          <w:lang w:val="ru-RU"/>
        </w:rPr>
      </w:pPr>
      <w:bookmarkStart w:id="25" w:name="_Toc195708423"/>
      <w:bookmarkStart w:id="26" w:name="_Toc51339696"/>
      <w:r>
        <w:rPr>
          <w:lang w:val="ru-RU"/>
        </w:rPr>
        <w:t xml:space="preserve">Требования </w:t>
      </w:r>
      <w:bookmarkEnd w:id="26"/>
      <w:r>
        <w:rPr>
          <w:lang w:val="ru-RU"/>
        </w:rPr>
        <w:t>к срокам выполнения работ</w:t>
      </w:r>
      <w:bookmarkEnd w:id="25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lang w:val="ru-RU"/>
        </w:rPr>
      </w:pPr>
      <w:bookmarkStart w:id="27" w:name="_Toc195708424"/>
      <w:bookmarkStart w:id="28" w:name="_Toc51339697"/>
      <w:bookmarkStart w:id="29" w:name="_Toc50125127"/>
      <w:r>
        <w:rPr>
          <w:sz w:val="24"/>
          <w:szCs w:val="24"/>
          <w:lang w:val="ru-RU"/>
        </w:rPr>
        <w:t xml:space="preserve">Таблица 4. </w:t>
      </w:r>
      <w:bookmarkStart w:id="30" w:name="_Hlk50465284"/>
      <w:r>
        <w:rPr>
          <w:sz w:val="24"/>
          <w:szCs w:val="24"/>
          <w:lang w:val="ru-RU"/>
        </w:rPr>
        <w:t xml:space="preserve">Требования по срокам </w:t>
      </w:r>
      <w:bookmarkEnd w:id="28"/>
      <w:bookmarkEnd w:id="29"/>
      <w:bookmarkEnd w:id="30"/>
      <w:r>
        <w:rPr>
          <w:sz w:val="24"/>
          <w:szCs w:val="24"/>
          <w:lang w:val="ru-RU"/>
        </w:rPr>
        <w:t>выполнения работ</w:t>
      </w:r>
      <w:bookmarkEnd w:id="27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22"/>
        <w:gridCol w:w="3408"/>
        <w:gridCol w:w="2410"/>
        <w:gridCol w:w="2977"/>
      </w:tblGrid>
      <w:tr>
        <w:trPr/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/>
            </w:pPr>
            <w:r>
              <w:rPr/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Выполнение работ по капитальному ремонту электродвигателя Саратовской ГЭС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eastAsia="x-none"/>
              </w:rPr>
              <w:t>В течении 60 календарных дней.</w:t>
            </w:r>
            <w:bookmarkStart w:id="31" w:name="_Toc50125126_Копия_1"/>
            <w:bookmarkStart w:id="32" w:name="_Toc46743510_Копия_1"/>
            <w:bookmarkStart w:id="33" w:name="_Toc50125126_Копия_1_Копия_1"/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w="11906" w:h="16838"/>
          <w:pgMar w:left="851" w:right="851" w:gutter="0" w:header="680" w:top="737" w:footer="0" w:bottom="992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0"/>
        </w:numPr>
        <w:tabs>
          <w:tab w:val="clear" w:pos="0"/>
        </w:tabs>
        <w:ind w:left="0" w:hanging="0"/>
        <w:rPr>
          <w:lang w:val="ru-RU"/>
        </w:rPr>
      </w:pPr>
      <w:r>
        <w:rPr>
          <w:lang w:val="ru-RU"/>
        </w:rPr>
      </w:r>
      <w:bookmarkStart w:id="34" w:name="_GoBack"/>
      <w:bookmarkStart w:id="35" w:name="_GoBack"/>
      <w:bookmarkEnd w:id="31"/>
      <w:bookmarkEnd w:id="32"/>
      <w:bookmarkEnd w:id="33"/>
      <w:bookmarkEnd w:id="35"/>
    </w:p>
    <w:p>
      <w:pPr>
        <w:pStyle w:val="Heading4"/>
        <w:numPr>
          <w:ilvl w:val="1"/>
          <w:numId w:val="3"/>
        </w:numPr>
        <w:ind w:left="0" w:hanging="0"/>
        <w:rPr>
          <w:lang w:val="ru-RU"/>
        </w:rPr>
      </w:pPr>
      <w:r>
        <w:rPr>
          <w:lang w:val="ru-RU"/>
        </w:rPr>
        <w:t>Требования к качеству работ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lang w:val="ru-RU"/>
        </w:rPr>
      </w:pPr>
      <w:bookmarkStart w:id="36" w:name="_Toc195708426"/>
      <w:bookmarkStart w:id="37" w:name="_Toc50125131"/>
      <w:bookmarkStart w:id="38" w:name="_Toc51339698"/>
      <w:r>
        <w:rPr>
          <w:sz w:val="24"/>
          <w:szCs w:val="24"/>
          <w:lang w:val="ru-RU"/>
        </w:rPr>
        <w:t xml:space="preserve">Таблица 6. Требования к </w:t>
      </w:r>
      <w:bookmarkEnd w:id="37"/>
      <w:bookmarkEnd w:id="38"/>
      <w:r>
        <w:rPr>
          <w:sz w:val="24"/>
          <w:szCs w:val="24"/>
          <w:lang w:val="ru-RU"/>
        </w:rPr>
        <w:t>качеству работ</w:t>
      </w:r>
      <w:bookmarkEnd w:id="36"/>
    </w:p>
    <w:p>
      <w:pPr>
        <w:pStyle w:val="Normal"/>
        <w:numPr>
          <w:ilvl w:val="0"/>
        </w:numPr>
        <w:snapToGrid w:val="false"/>
        <w:spacing w:before="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работ: </w:t>
      </w:r>
      <w:r>
        <w:rPr>
          <w:bCs/>
          <w:sz w:val="24"/>
          <w:szCs w:val="24"/>
        </w:rPr>
        <w:t xml:space="preserve">Выполнение работ по капитальному ремонту электродвигателя Саратовской ГЭС </w:t>
      </w:r>
      <w:r>
        <w:rPr>
          <w:iCs/>
          <w:sz w:val="24"/>
          <w:szCs w:val="24"/>
        </w:rPr>
        <w:t>(Приложение №1 к настоящим ТТ)</w:t>
      </w:r>
    </w:p>
    <w:p>
      <w:pPr>
        <w:pStyle w:val="Normal"/>
        <w:numPr>
          <w:ilvl w:val="0"/>
        </w:numPr>
        <w:spacing w:lineRule="atLeast" w:line="0"/>
        <w:rPr/>
      </w:pPr>
      <w:r>
        <w:rPr/>
        <w:t xml:space="preserve"> </w:t>
      </w:r>
    </w:p>
    <w:tbl>
      <w:tblPr>
        <w:tblStyle w:val="2e"/>
        <w:tblW w:w="152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1"/>
        <w:gridCol w:w="14538"/>
      </w:tblGrid>
      <w:tr>
        <w:trPr>
          <w:tblHeader w:val="true"/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4538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</w:tr>
      <w:tr>
        <w:trPr>
          <w:trHeight w:val="20" w:hRule="atLeast"/>
        </w:trPr>
        <w:tc>
          <w:tcPr>
            <w:tcW w:w="70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45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4538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1.1.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Субподрядчик обязан выполнить работы своими силами и средствами с применением своих материалов и оборудования. При привлечении третьих лиц (соисполнителей) Субподрядчик несет ответственность перед Генеральным подрядчиком за неисполнение или ненадлежащее исполнение обязательств, привлеченными к исполнению договора третьими лицами.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1.2.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Результатом работ является выполнение ремонта электродвигателей в соответствии с ведомостью объемов работ (Приложение №1 к настоящим Техническим требованиям).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ремонта Субподрядчиком соблюдать указания инструкции по эксплуатации 1БН.060.001 ТО (Приложение №3).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1.4.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Перед передачей результатов выполненных работ, Субподрядчик должен провести испытание электродвигателей на работоспособность и соответствие техническим параметрам согласно инструкции по эксплуатации 1БН.060.001 ТО (Приложение №3). По результату испытаний составить акт испытания и предоставить Генеральному подрядчику.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Субподрядчик обеспечивает сохранность и возврат Генеральному подрядчику материалов, демонтированных комплектующих или частей, выбывших из эксплуатации в результате выполнения работ, а также выбывших из эксплуатации в результате аварии, повреждения.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1.</w:t>
            </w:r>
            <w:r>
              <w:rPr>
                <w:rFonts w:eastAsia="Calibri" w:cs="Calibri"/>
                <w:kern w:val="0"/>
                <w:sz w:val="24"/>
                <w:szCs w:val="24"/>
                <w:lang w:val="en-US" w:eastAsia="ru-RU" w:bidi="ar-SA"/>
              </w:rPr>
              <w:t>6</w:t>
            </w: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Работы выполняются в таком объеме, который позволяет начать эксплуатацию результатов выполненных работ без проведения закупочных процедур Генеральным подрядчиком, включающих дополнительные объёмы каких-либо материалов и комплектующих. Работы считаются выполненными после приемки объекта выполнения работ комиссией Генерального подрядчика и Конечного заказчика с оформлением акта приемки.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2.1.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Использование материалов и комплектующих не соответствующих ведомостям объемов работ (Приложение №1), но схожих по своим свойствам и техническим характеристикам допускается, только при письменном согласовании Генеральным подрядчиком; 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cs="Calibri"/>
                <w:kern w:val="0"/>
                <w:lang w:val="ru-RU" w:eastAsia="ru-RU" w:bidi="ar-SA"/>
              </w:rPr>
              <w:t xml:space="preserve">Качество материалов и комплектующих должно подтверждаться сертификатами </w:t>
            </w:r>
            <w:r>
              <w:rPr>
                <w:rFonts w:cs="Calibri"/>
                <w:bCs/>
                <w:kern w:val="0"/>
                <w:lang w:val="ru-RU" w:eastAsia="ru-RU" w:bidi="ar-SA"/>
              </w:rPr>
              <w:t>(сертификат соответствия), паспортами</w:t>
            </w:r>
            <w:r>
              <w:rPr>
                <w:rFonts w:cs="Calibri"/>
                <w:kern w:val="0"/>
                <w:lang w:val="ru-RU" w:eastAsia="ru-RU" w:bidi="ar-SA"/>
              </w:rPr>
              <w:t xml:space="preserve"> качества заводов-изготовителей; 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cs="Calibri"/>
                <w:kern w:val="0"/>
                <w:lang w:val="ru-RU" w:eastAsia="ru-RU" w:bidi="ar-SA"/>
              </w:rPr>
              <w:t xml:space="preserve">Все используемые материалы, комплектующие и оборудование должны быть новыми, </w:t>
            </w:r>
            <w:r>
              <w:rPr>
                <w:rFonts w:cs="Calibri"/>
                <w:bCs/>
                <w:kern w:val="0"/>
                <w:lang w:val="ru-RU" w:eastAsia="ru-RU" w:bidi="ar-SA"/>
              </w:rPr>
              <w:t xml:space="preserve">ранее не использованными, не бывшими в употреблении, не восстановленным после ремонта, не выставочным экземпляром, технически исправным. 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Субподрядчика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3.1.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В случае повреждения электродвигателей или их комплектующих в ходе выполнения работ, Субподрядчик обязуется устранить возникшие повреждения за свой счет с согласованием с Генеральным подрядчиком.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3.2.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Субподрядчик обязан предоставить гарантию на выполненные работы не менее 12 месяцев. Исчисляется с даты подписания Сторонами акта о приемки выполненных работ. Гарантии распространяются на все работы, детали, узлы и оборудование, подвергаемое ремонту.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3.3.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Субподрядчик</w:t>
            </w:r>
            <w:r>
              <w:rPr>
                <w:rFonts w:eastAsia="Calibri" w:cs="Calibri"/>
                <w:bCs/>
                <w:kern w:val="0"/>
                <w:sz w:val="24"/>
                <w:szCs w:val="24"/>
                <w:lang w:val="ru-RU" w:eastAsia="ru-RU" w:bidi="ar-SA"/>
              </w:rPr>
              <w:t xml:space="preserve"> обязан производить в течение гарантийного периода устранение всех неисправностей, возникших из-за дефектов ремонта, своими силами и за свой счет или компенсировать затраты по выполнению таких работ. Гарантийный   период увеличивается на время простоя оборудования, необходимое на устранение дефектов. Потери от простоя оборудования компенсирует </w:t>
            </w: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Субподрядчик</w:t>
            </w:r>
            <w:r>
              <w:rPr>
                <w:rFonts w:eastAsia="Calibri" w:cs="Calibri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bCs/>
                <w:kern w:val="0"/>
                <w:sz w:val="24"/>
                <w:szCs w:val="24"/>
                <w:lang w:val="ru-RU" w:eastAsia="ru-RU" w:bidi="ar-SA"/>
              </w:rPr>
              <w:t xml:space="preserve">Для участия в составлении акта, фиксирующего дефекты, согласования порядка и сроков их устранения </w:t>
            </w: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Субподрядчик</w:t>
            </w:r>
            <w:r>
              <w:rPr>
                <w:rFonts w:eastAsia="Calibri" w:cs="Calibri"/>
                <w:bCs/>
                <w:kern w:val="0"/>
                <w:sz w:val="24"/>
                <w:szCs w:val="24"/>
                <w:lang w:val="ru-RU" w:eastAsia="ru-RU" w:bidi="ar-SA"/>
              </w:rPr>
              <w:t xml:space="preserve"> обязан направить своего представителя в течение суток со дня получения письменного извещения</w:t>
            </w: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 xml:space="preserve"> Генерального подрядчика </w:t>
            </w:r>
            <w:r>
              <w:rPr>
                <w:rFonts w:eastAsia="Calibri" w:cs="Calibri"/>
                <w:bCs/>
                <w:kern w:val="0"/>
                <w:sz w:val="24"/>
                <w:szCs w:val="24"/>
                <w:lang w:val="ru-RU" w:eastAsia="ru-RU" w:bidi="ar-SA"/>
              </w:rPr>
              <w:t>и Конечного заказчика.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b/>
                <w:kern w:val="0"/>
                <w:sz w:val="24"/>
                <w:szCs w:val="24"/>
                <w:lang w:val="ru-RU" w:eastAsia="ru-RU" w:bidi="ar-SA"/>
              </w:rPr>
              <w:t>Требования к доставке, транспортировке.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 xml:space="preserve">Место поставки: </w:t>
            </w:r>
            <w:r>
              <w:rPr>
                <w:rFonts w:eastAsia="Calibri" w:cs="Calibri"/>
                <w:color w:val="000000"/>
                <w:kern w:val="0"/>
                <w:sz w:val="24"/>
                <w:szCs w:val="24"/>
                <w:lang w:val="ru-RU" w:eastAsia="ru-RU" w:bidi="ar-SA"/>
              </w:rPr>
              <w:t>Филиал ПАО «РусГидро» - «Саратовская ГЭС» РФ, 413840, Саратовская обл., г. Балаково; территория здания ГЭС.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4.2.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Время поставки продукции: В рабочие дни с 8-00 до 12-00 и с 13-00 до 16-00 (по местному времени), в пятницу с 8-00 до 12-00 и с 13-00 до 15-00 ч.</w:t>
            </w:r>
          </w:p>
        </w:tc>
      </w:tr>
      <w:tr>
        <w:trPr>
          <w:trHeight w:val="537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4.3.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12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Информация о транспорте: Для оформления допуска на территорию филиала ПАО «РусГидро» - «Саратовская ГЭС» информация о транспорте предоставляется не позднее чем за 3 рабочих дня, предшествующих дню доставки</w:t>
            </w:r>
          </w:p>
        </w:tc>
      </w:tr>
      <w:tr>
        <w:trPr>
          <w:trHeight w:val="20" w:hRule="atLeast"/>
        </w:trPr>
        <w:tc>
          <w:tcPr>
            <w:tcW w:w="70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85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4.4.</w:t>
            </w:r>
          </w:p>
        </w:tc>
        <w:tc>
          <w:tcPr>
            <w:tcW w:w="145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120"/>
              <w:jc w:val="left"/>
              <w:rPr>
                <w:rFonts w:ascii="Times New Roman" w:hAnsi="Times New Roman"/>
                <w:kern w:val="0"/>
                <w:lang w:val="ru-RU" w:eastAsia="ru-RU" w:bidi="ar-SA"/>
              </w:rPr>
            </w:pPr>
            <w:r>
              <w:rPr>
                <w:rFonts w:eastAsia="Calibri" w:cs="Calibri"/>
                <w:kern w:val="0"/>
                <w:sz w:val="24"/>
                <w:szCs w:val="24"/>
                <w:lang w:val="ru-RU" w:eastAsia="ru-RU" w:bidi="ar-SA"/>
              </w:rPr>
              <w:t>Условия поставки: Доставка электродвигателей до места выполнения работ осуществляется Субподрядчиком, с привлечением транспортной компании или собственными средствами. После выполнения работ доставку отремонтированных двигателей до складов Генерального подрядчика производит Субподрядчик согласно таблицы №2.  Стоимость доставки оплачивается Субподрядчиком.</w:t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документации по ценообразованию на этапе закупки</w:t>
      </w:r>
    </w:p>
    <w:p>
      <w:pPr>
        <w:pStyle w:val="Normal"/>
        <w:jc w:val="both"/>
        <w:rPr/>
      </w:pPr>
      <w:r>
        <w:rPr>
          <w:sz w:val="24"/>
          <w:szCs w:val="24"/>
        </w:rPr>
        <w:t>В обоснование стоимости своей заявки Участник предоставляет ТКП.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Normal"/>
        <w:ind w:left="426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426" w:hanging="0"/>
        <w:rPr>
          <w:sz w:val="24"/>
          <w:szCs w:val="24"/>
          <w:lang w:val="ru-RU"/>
        </w:rPr>
      </w:pPr>
      <w:bookmarkStart w:id="39" w:name="_Toc195708427"/>
      <w:r>
        <w:rPr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</w:t>
      </w:r>
      <w:bookmarkEnd w:id="39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Сметную документацию составлять и оформлять в соответствии с требованиями к документации по ценообразованию (Приложение №2 к настоящим техническим требованиям) с применением понижающего коэффициента, приводящего к стоимости, указанной в ТКП участника, с которым принято решение заключить договор. Коэффициент начисляется в каждой локальной смете к итогу.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keepNext w:val="true"/>
        <w:numPr>
          <w:ilvl w:val="0"/>
          <w:numId w:val="3"/>
        </w:numPr>
        <w:spacing w:before="120" w:after="60"/>
        <w:ind w:left="284" w:hanging="360"/>
        <w:jc w:val="center"/>
        <w:outlineLvl w:val="0"/>
        <w:rPr>
          <w:rFonts w:eastAsia="Calibri"/>
          <w:b/>
          <w:sz w:val="24"/>
          <w:szCs w:val="24"/>
          <w:lang w:eastAsia="x-none"/>
        </w:rPr>
      </w:pPr>
      <w:bookmarkStart w:id="40" w:name="_Toc195708429"/>
      <w:r>
        <w:rPr>
          <w:rFonts w:eastAsia="Calibri"/>
          <w:b/>
          <w:sz w:val="24"/>
          <w:szCs w:val="24"/>
          <w:lang w:eastAsia="x-none"/>
        </w:rPr>
        <w:t>Приложения</w:t>
      </w:r>
      <w:bookmarkEnd w:id="40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1 - Ведомость объемов работ № 1. </w:t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№1.1. -  Перечень технических характеристик. </w:t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>Приложение № 2 - Требования к оформлению и составлению сметной документации.</w:t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bookmarkStart w:id="41" w:name="_Toc46743519"/>
      <w:bookmarkStart w:id="42" w:name="_Toc51339699"/>
      <w:r>
        <w:rPr>
          <w:sz w:val="24"/>
          <w:szCs w:val="24"/>
        </w:rPr>
        <w:t>Приложение № 3 - Электродвигатели асинхронные АОЗ-400. Техническое описание и инструкция по эксплуатации 1БН.060.001 ТО.</w:t>
      </w:r>
      <w:bookmarkEnd w:id="41"/>
      <w:bookmarkEnd w:id="42"/>
    </w:p>
    <w:p>
      <w:pPr>
        <w:pStyle w:val="Normal"/>
        <w:rPr/>
      </w:pPr>
      <w:r>
        <w:rPr/>
      </w:r>
    </w:p>
    <w:sectPr>
      <w:headerReference w:type="even" r:id="rId9"/>
      <w:headerReference w:type="default" r:id="rId10"/>
      <w:headerReference w:type="first" r:id="rId11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/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672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f57c9c"/>
    <w:pPr>
      <w:keepNext w:val="true"/>
      <w:numPr>
        <w:ilvl w:val="2"/>
        <w:numId w:val="3"/>
      </w:numPr>
      <w:spacing w:before="120" w:after="60"/>
      <w:ind w:left="0" w:hanging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f57c9c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Fontstyle01" w:customStyle="1">
    <w:name w:val="fontstyle01"/>
    <w:basedOn w:val="DefaultParagraphFont"/>
    <w:qFormat/>
    <w:rsid w:val="000436da"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0a1873"/>
    <w:rPr>
      <w:color w:val="954F72" w:themeColor="followedHyperlink"/>
      <w:u w:val="single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37" w:customStyle="1">
    <w:name w:val="Абзац списка3"/>
    <w:basedOn w:val="Normal"/>
    <w:qFormat/>
    <w:rsid w:val="00025834"/>
    <w:pPr>
      <w:spacing w:lineRule="auto" w:line="360" w:before="0" w:after="0"/>
      <w:ind w:left="720" w:hanging="0"/>
      <w:contextualSpacing/>
      <w:jc w:val="both"/>
    </w:pPr>
    <w:rPr>
      <w:sz w:val="24"/>
      <w:szCs w:val="24"/>
      <w:lang w:eastAsia="zh-CN"/>
    </w:rPr>
  </w:style>
  <w:style w:type="paragraph" w:styleId="Style33" w:customStyle="1">
    <w:name w:val="Содержимое таблицы"/>
    <w:basedOn w:val="Normal"/>
    <w:qFormat/>
    <w:rsid w:val="00db1746"/>
    <w:pPr>
      <w:widowControl w:val="false"/>
      <w:suppressLineNumbers/>
    </w:pPr>
    <w:rPr/>
  </w:style>
  <w:style w:type="paragraph" w:styleId="Default" w:customStyle="1">
    <w:name w:val="Default"/>
    <w:qFormat/>
    <w:rsid w:val="00f86ccf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Заголовок таблицы"/>
    <w:basedOn w:val="Style3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9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e">
    <w:name w:val="Сетка таблицы2"/>
    <w:basedOn w:val="a5"/>
    <w:uiPriority w:val="99"/>
    <w:rsid w:val="004d018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header" Target="header9.xml"/><Relationship Id="rId11" Type="http://schemas.openxmlformats.org/officeDocument/2006/relationships/header" Target="header10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20067-49A2-4650-B69F-BD8446760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Application>AlterOffice/3.4.0.9$Linux_X86_64 LibreOffice_project/b8daf9e823b1a5463a2f48435ddc2e8696e7d4fc</Application>
  <AppVersion>15.0000</AppVersion>
  <Pages>8</Pages>
  <Words>1308</Words>
  <Characters>9046</Characters>
  <CharactersWithSpaces>10187</CharactersWithSpaces>
  <Paragraphs>164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2024-11-07T07:24:00Z</dcterms:created>
  <dc:creator>Быстров Олег Геннадьевич</dc:creator>
  <dc:description/>
  <dc:language>ru-RU</dc:language>
  <cp:lastModifiedBy>karmashovvv@corp.gidroogk.com</cp:lastModifiedBy>
  <cp:lastPrinted>2024-01-15T10:27:00Z</cp:lastPrinted>
  <dcterms:modified xsi:type="dcterms:W3CDTF">2026-06-29T13:56:05Z</dcterms:modified>
  <cp:revision>48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